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E7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bookmarkStart w:id="2" w:name="OLE_LINK1"/>
      <w:bookmarkStart w:id="3" w:name="OLE_LINK2"/>
      <w:bookmarkStart w:id="4" w:name="_GoBack"/>
      <w:bookmarkEnd w:id="4"/>
      <w:r w:rsidRPr="00184343">
        <w:rPr>
          <w:rFonts w:ascii="Times New Roman" w:hAnsi="Times New Roman"/>
          <w:b/>
          <w:sz w:val="28"/>
          <w:szCs w:val="28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184343">
          <w:rPr>
            <w:rFonts w:ascii="Times New Roman" w:hAnsi="Times New Roman"/>
            <w:b/>
            <w:sz w:val="28"/>
            <w:szCs w:val="28"/>
          </w:rPr>
          <w:t>rīkojuma</w:t>
        </w:r>
      </w:smartTag>
      <w:r w:rsidRPr="00184343">
        <w:rPr>
          <w:rFonts w:ascii="Times New Roman" w:hAnsi="Times New Roman"/>
          <w:b/>
          <w:sz w:val="28"/>
          <w:szCs w:val="28"/>
        </w:rPr>
        <w:t xml:space="preserve"> projekta </w:t>
      </w:r>
    </w:p>
    <w:p w:rsidR="009621E7" w:rsidRDefault="00A219E3" w:rsidP="00A219E3">
      <w:pPr>
        <w:pStyle w:val="Heading2"/>
        <w:rPr>
          <w:b/>
          <w:szCs w:val="28"/>
        </w:rPr>
      </w:pPr>
      <w:r>
        <w:rPr>
          <w:b/>
          <w:bCs/>
          <w:szCs w:val="28"/>
        </w:rPr>
        <w:t xml:space="preserve">„Grozījumi Ministru kabineta </w:t>
      </w:r>
      <w:r>
        <w:rPr>
          <w:b/>
          <w:szCs w:val="28"/>
        </w:rPr>
        <w:t xml:space="preserve">2015.gada 2.septembra rīkojumā Nr.470 </w:t>
      </w:r>
      <w:r w:rsidR="009621E7" w:rsidRPr="00184343">
        <w:rPr>
          <w:b/>
          <w:szCs w:val="28"/>
        </w:rPr>
        <w:t>„</w:t>
      </w:r>
      <w:r w:rsidR="00A83102">
        <w:rPr>
          <w:b/>
          <w:bCs/>
        </w:rPr>
        <w:t>Par valsts</w:t>
      </w:r>
      <w:r w:rsidR="00A83102" w:rsidRPr="00C476D7">
        <w:rPr>
          <w:szCs w:val="28"/>
        </w:rPr>
        <w:t xml:space="preserve"> </w:t>
      </w:r>
      <w:r w:rsidR="00A83102" w:rsidRPr="00C476D7">
        <w:rPr>
          <w:b/>
          <w:szCs w:val="28"/>
        </w:rPr>
        <w:t xml:space="preserve">sabiedrības ar ierobežotu atbildību </w:t>
      </w:r>
      <w:r w:rsidR="00A83102">
        <w:rPr>
          <w:b/>
          <w:szCs w:val="28"/>
        </w:rPr>
        <w:t>„Latvijas Nacionālā opera</w:t>
      </w:r>
      <w:r w:rsidR="00A6670A">
        <w:rPr>
          <w:b/>
          <w:szCs w:val="28"/>
        </w:rPr>
        <w:t xml:space="preserve"> un balets</w:t>
      </w:r>
      <w:r w:rsidR="00A83102">
        <w:rPr>
          <w:b/>
          <w:szCs w:val="28"/>
        </w:rPr>
        <w:t>” statūtu apstiprināšanu”</w:t>
      </w:r>
      <w:r>
        <w:rPr>
          <w:b/>
          <w:szCs w:val="28"/>
        </w:rPr>
        <w:t>”</w:t>
      </w:r>
      <w:r w:rsidR="00A83102">
        <w:rPr>
          <w:b/>
          <w:szCs w:val="28"/>
        </w:rPr>
        <w:t xml:space="preserve"> </w:t>
      </w:r>
      <w:r w:rsidR="009621E7" w:rsidRPr="00184343">
        <w:rPr>
          <w:b/>
          <w:szCs w:val="28"/>
        </w:rPr>
        <w:t>sākotnējās ietekmes novērtējuma ziņojums (anotācija)</w:t>
      </w:r>
    </w:p>
    <w:bookmarkEnd w:id="0"/>
    <w:bookmarkEnd w:id="1"/>
    <w:p w:rsidR="009621E7" w:rsidRPr="00184343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59"/>
        <w:gridCol w:w="5252"/>
      </w:tblGrid>
      <w:tr w:rsidR="009621E7" w:rsidRPr="00184343" w:rsidTr="00EA2DF8">
        <w:trPr>
          <w:trHeight w:val="55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2"/>
          <w:bookmarkEnd w:id="3"/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9621E7" w:rsidRPr="00184343" w:rsidTr="0025474C">
        <w:trPr>
          <w:trHeight w:val="3327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B811F7" w:rsidRDefault="009621E7" w:rsidP="002A0049">
            <w:pPr>
              <w:spacing w:after="0" w:line="240" w:lineRule="auto"/>
              <w:ind w:left="141" w:right="156"/>
              <w:rPr>
                <w:rFonts w:ascii="Times New Roman" w:hAnsi="Times New Roman"/>
                <w:sz w:val="28"/>
                <w:szCs w:val="28"/>
              </w:rPr>
            </w:pPr>
            <w:r w:rsidRPr="00B811F7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220" w:rsidRDefault="00EA2DF8" w:rsidP="00EA2DF8">
            <w:pPr>
              <w:pStyle w:val="NoSpacing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F8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A2DF8">
                <w:rPr>
                  <w:rFonts w:ascii="Times New Roman" w:hAnsi="Times New Roman"/>
                  <w:sz w:val="28"/>
                  <w:szCs w:val="28"/>
                </w:rPr>
                <w:t>rīkojuma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projekts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9E3">
              <w:rPr>
                <w:rFonts w:ascii="Times New Roman" w:hAnsi="Times New Roman"/>
                <w:sz w:val="28"/>
                <w:szCs w:val="28"/>
              </w:rPr>
              <w:t>„</w:t>
            </w:r>
            <w:r w:rsidR="00A219E3" w:rsidRPr="00A219E3">
              <w:rPr>
                <w:rFonts w:ascii="Times New Roman" w:hAnsi="Times New Roman"/>
                <w:bCs/>
                <w:sz w:val="28"/>
                <w:szCs w:val="28"/>
              </w:rPr>
              <w:t xml:space="preserve">Grozījumi Ministru kabineta </w:t>
            </w:r>
            <w:r w:rsidR="00A219E3" w:rsidRPr="00A219E3">
              <w:rPr>
                <w:rFonts w:ascii="Times New Roman" w:hAnsi="Times New Roman"/>
                <w:sz w:val="28"/>
                <w:szCs w:val="28"/>
              </w:rPr>
              <w:t>2015.gada 2.septembra rīkojumā Nr.470</w:t>
            </w:r>
            <w:r w:rsidR="00A219E3">
              <w:rPr>
                <w:b/>
                <w:szCs w:val="28"/>
              </w:rPr>
              <w:t xml:space="preserve">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„Par valsts sabiedrības ar ierobežotu atbildību „Latvijas Nacionālā opera</w:t>
            </w:r>
            <w:r w:rsidR="00A6670A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” statūtu apstiprināšanu”</w:t>
            </w:r>
            <w:r w:rsidR="00A219E3">
              <w:rPr>
                <w:rFonts w:ascii="Times New Roman" w:hAnsi="Times New Roman"/>
                <w:sz w:val="28"/>
                <w:szCs w:val="28"/>
              </w:rPr>
              <w:t>”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(turpmāk – Projekts) sagatavots, pamatojoties uz 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>Latvijas Nacionālās operas</w:t>
            </w:r>
            <w:r w:rsidR="00B811F7">
              <w:rPr>
                <w:rFonts w:ascii="Times New Roman" w:hAnsi="Times New Roman"/>
                <w:sz w:val="28"/>
                <w:szCs w:val="28"/>
              </w:rPr>
              <w:t xml:space="preserve"> un baleta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 likuma 2.panta treš</w:t>
            </w:r>
            <w:r w:rsidR="00E66264">
              <w:rPr>
                <w:rFonts w:ascii="Times New Roman" w:hAnsi="Times New Roman"/>
                <w:sz w:val="28"/>
                <w:szCs w:val="28"/>
              </w:rPr>
              <w:t>o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102" w:rsidRPr="00EA2DF8">
              <w:rPr>
                <w:rFonts w:ascii="Times New Roman" w:hAnsi="Times New Roman"/>
                <w:sz w:val="28"/>
                <w:szCs w:val="28"/>
              </w:rPr>
              <w:t>daļ</w:t>
            </w:r>
            <w:r w:rsidR="00E66264">
              <w:rPr>
                <w:rFonts w:ascii="Times New Roman" w:hAnsi="Times New Roman"/>
                <w:sz w:val="28"/>
                <w:szCs w:val="28"/>
              </w:rPr>
              <w:t>u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, kas nosaka, ka 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valsts sabiedrības ar ierobežotu atbildību „Latvijas Nacionālā opera</w:t>
            </w:r>
            <w:r w:rsidR="00A6670A" w:rsidRPr="00B811F7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statūtus apstiprina, kā arī grozījumus tajos izdara Ministru kabinets.</w:t>
            </w:r>
          </w:p>
          <w:p w:rsidR="00A6670A" w:rsidRPr="00B811F7" w:rsidRDefault="00A6670A" w:rsidP="00B811F7">
            <w:pPr>
              <w:pStyle w:val="NoSpacing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E7" w:rsidRPr="00184343" w:rsidTr="00EA2DF8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9300CB" w:rsidRDefault="009300CB" w:rsidP="002A0049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300CB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1F7" w:rsidRPr="00833A4B" w:rsidRDefault="00661728" w:rsidP="00B37F6F">
            <w:pPr>
              <w:pStyle w:val="NoSpacing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B">
              <w:rPr>
                <w:rFonts w:ascii="Times New Roman" w:hAnsi="Times New Roman"/>
                <w:sz w:val="28"/>
                <w:szCs w:val="28"/>
              </w:rPr>
              <w:t xml:space="preserve">Latvijas Nacionālās operas </w:t>
            </w:r>
            <w:r w:rsidR="00B811F7" w:rsidRPr="00833A4B">
              <w:rPr>
                <w:rFonts w:ascii="Times New Roman" w:hAnsi="Times New Roman"/>
                <w:sz w:val="28"/>
                <w:szCs w:val="28"/>
              </w:rPr>
              <w:t xml:space="preserve">un baleta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likuma 2.panta trešā daļa nosaka, ka Nacionālās operas statūtus apstiprina, kā arī grozījumus </w:t>
            </w:r>
            <w:r w:rsidR="00783846" w:rsidRPr="00833A4B">
              <w:rPr>
                <w:rFonts w:ascii="Times New Roman" w:hAnsi="Times New Roman"/>
                <w:sz w:val="28"/>
                <w:szCs w:val="28"/>
              </w:rPr>
              <w:t>tajos izdara Ministru kabinets.</w:t>
            </w:r>
          </w:p>
          <w:p w:rsidR="00783846" w:rsidRPr="00833A4B" w:rsidRDefault="00783846" w:rsidP="00B37F6F">
            <w:pPr>
              <w:pStyle w:val="NoSpacing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B">
              <w:rPr>
                <w:rFonts w:ascii="Times New Roman" w:hAnsi="Times New Roman"/>
                <w:sz w:val="28"/>
                <w:szCs w:val="28"/>
              </w:rPr>
              <w:t xml:space="preserve">Šī brīža valsts sabiedrības ar ierobežotu atbildību „Latvijas Nacionālā opera un baleta” statūti ir apstiprināti ar Ministru kabineta 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 xml:space="preserve">2015.gada 2.septembra rīkojumu Nr.470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„Par valsts sabiedrības ar ierobežotu atbildību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„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un balets”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statūtu apstiprināšanu”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.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Uz doto brīdi v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 xml:space="preserve">alsts sabiedrības ar ierobežotu atbildību „Latvijas Nacionālā opera un balets”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pamatkapitāls ir 96 755 </w:t>
            </w:r>
            <w:r w:rsidRPr="00833A4B">
              <w:rPr>
                <w:rFonts w:ascii="Times New Roman" w:hAnsi="Times New Roman"/>
                <w:i/>
                <w:sz w:val="28"/>
                <w:szCs w:val="28"/>
              </w:rPr>
              <w:t>euro.</w:t>
            </w:r>
          </w:p>
          <w:p w:rsidR="00E16A1E" w:rsidRPr="00783846" w:rsidRDefault="00E16A1E" w:rsidP="00B37F6F">
            <w:pPr>
              <w:pStyle w:val="NoSpacing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B">
              <w:rPr>
                <w:rFonts w:ascii="Times New Roman" w:hAnsi="Times New Roman"/>
                <w:sz w:val="28"/>
                <w:szCs w:val="28"/>
              </w:rPr>
              <w:t>Atbilstoši „</w:t>
            </w:r>
            <w:r w:rsidRPr="00833A4B">
              <w:rPr>
                <w:rFonts w:ascii="Times New Roman" w:hAnsi="Times New Roman"/>
                <w:bCs/>
                <w:sz w:val="28"/>
                <w:szCs w:val="28"/>
              </w:rPr>
              <w:t>Publiskas personas</w:t>
            </w:r>
            <w:r w:rsidRPr="00E16A1E">
              <w:rPr>
                <w:rFonts w:ascii="Times New Roman" w:hAnsi="Times New Roman"/>
                <w:bCs/>
                <w:sz w:val="28"/>
                <w:szCs w:val="28"/>
              </w:rPr>
              <w:t xml:space="preserve"> kapitāla daļu un kapitālsabiedrību pārvaldības likuma”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62.pantā</w:t>
            </w:r>
            <w:r w:rsidR="00783846">
              <w:rPr>
                <w:rFonts w:ascii="Times New Roman" w:hAnsi="Times New Roman"/>
                <w:bCs/>
                <w:sz w:val="28"/>
                <w:szCs w:val="28"/>
              </w:rPr>
              <w:t xml:space="preserve"> un 63.pa</w:t>
            </w:r>
            <w:r w:rsidR="00833A4B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 w:rsidR="00783846">
              <w:rPr>
                <w:rFonts w:ascii="Times New Roman" w:hAnsi="Times New Roman"/>
                <w:bCs/>
                <w:sz w:val="28"/>
                <w:szCs w:val="28"/>
              </w:rPr>
              <w:t>ta pirmās daļas 1.punktā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noteiktajam, </w:t>
            </w:r>
            <w:r w:rsidR="00783846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="00783846" w:rsidRPr="003848E6">
              <w:rPr>
                <w:rFonts w:ascii="Times New Roman" w:hAnsi="Times New Roman"/>
                <w:sz w:val="28"/>
                <w:szCs w:val="28"/>
              </w:rPr>
              <w:t xml:space="preserve">sabiedrības ar ierobežotu atbildību „Latvijas Nacionālā opera un balets”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2016.gada 16.jūnija </w:t>
            </w:r>
            <w:r w:rsidR="00783846">
              <w:rPr>
                <w:rFonts w:ascii="Times New Roman" w:hAnsi="Times New Roman"/>
                <w:bCs/>
                <w:sz w:val="28"/>
                <w:szCs w:val="28"/>
              </w:rPr>
              <w:t xml:space="preserve">dalībnieku sapulces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lēmumā nolemts veikt </w:t>
            </w:r>
            <w:r w:rsidRPr="0056620C">
              <w:rPr>
                <w:rFonts w:ascii="Times New Roman" w:hAnsi="Times New Roman"/>
                <w:sz w:val="28"/>
                <w:szCs w:val="28"/>
              </w:rPr>
              <w:lastRenderedPageBreak/>
              <w:t>valsts sabiedrības ar ierobežotu atbildību „Latvijas Nacionālā opera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pamatkapitāla palielināšanu,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Kultūras ministrija </w:t>
            </w:r>
            <w:r w:rsidR="005A1B53" w:rsidRPr="00783846">
              <w:rPr>
                <w:rFonts w:ascii="Times New Roman" w:hAnsi="Times New Roman"/>
                <w:sz w:val="28"/>
                <w:szCs w:val="28"/>
              </w:rPr>
              <w:t>izdar</w:t>
            </w:r>
            <w:r w:rsidR="005A1B53">
              <w:rPr>
                <w:rFonts w:ascii="Times New Roman" w:hAnsi="Times New Roman"/>
                <w:sz w:val="28"/>
                <w:szCs w:val="28"/>
              </w:rPr>
              <w:t>ot</w:t>
            </w:r>
            <w:r w:rsidR="005A1B53" w:rsidRPr="00783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naudas ieguldījumu 50 000 </w:t>
            </w:r>
            <w:r w:rsidR="00783846" w:rsidRPr="00783846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 apmērā </w:t>
            </w:r>
            <w:r w:rsidR="00833A4B" w:rsidRPr="0056620C">
              <w:rPr>
                <w:rFonts w:ascii="Times New Roman" w:hAnsi="Times New Roman"/>
                <w:sz w:val="28"/>
                <w:szCs w:val="28"/>
              </w:rPr>
              <w:t>valsts sabiedrības ar ierobežotu atbildību „Latvijas Nacionālā opera</w:t>
            </w:r>
            <w:r w:rsidR="00833A4B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833A4B" w:rsidRPr="0056620C">
              <w:rPr>
                <w:rFonts w:ascii="Times New Roman" w:hAnsi="Times New Roman"/>
                <w:sz w:val="28"/>
                <w:szCs w:val="28"/>
              </w:rPr>
              <w:t>”</w:t>
            </w:r>
            <w:r w:rsid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846">
              <w:rPr>
                <w:rFonts w:ascii="Times New Roman" w:hAnsi="Times New Roman"/>
                <w:sz w:val="28"/>
                <w:szCs w:val="28"/>
              </w:rPr>
              <w:t>pamatkapitālā, pretī saņemot attiecīgu jaunu daļu skaitu.</w:t>
            </w:r>
            <w:r>
              <w:rPr>
                <w:sz w:val="28"/>
                <w:szCs w:val="28"/>
              </w:rPr>
              <w:t xml:space="preserve">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>Pēc pamatkapitāla palielināšanas valsts sabiedrības ar ierobežotu atbildību „Latvijas Nacionālā opera un balets” pamatkapitāls būtu 146</w:t>
            </w:r>
            <w:r w:rsid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755 </w:t>
            </w:r>
            <w:r w:rsidR="00783846" w:rsidRPr="00783846">
              <w:rPr>
                <w:rFonts w:ascii="Times New Roman" w:hAnsi="Times New Roman"/>
                <w:i/>
                <w:sz w:val="28"/>
                <w:szCs w:val="28"/>
              </w:rPr>
              <w:t>euro.</w:t>
            </w:r>
          </w:p>
          <w:p w:rsidR="003848E6" w:rsidRPr="00C0519D" w:rsidRDefault="00C0519D" w:rsidP="005A1B53">
            <w:pPr>
              <w:pStyle w:val="NoSpacing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8E6">
              <w:rPr>
                <w:rFonts w:ascii="Times New Roman" w:hAnsi="Times New Roman"/>
                <w:sz w:val="28"/>
                <w:szCs w:val="28"/>
              </w:rPr>
              <w:t>Ņemot vērā iepriekš minēto</w:t>
            </w:r>
            <w:r w:rsidR="00661728" w:rsidRPr="003848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927" w:rsidRPr="003848E6">
              <w:rPr>
                <w:rFonts w:ascii="Times New Roman" w:hAnsi="Times New Roman"/>
                <w:sz w:val="28"/>
                <w:szCs w:val="28"/>
              </w:rPr>
              <w:t>Projekts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 paredz </w:t>
            </w:r>
            <w:r w:rsidR="0080118C">
              <w:rPr>
                <w:rFonts w:ascii="Times New Roman" w:hAnsi="Times New Roman"/>
                <w:sz w:val="28"/>
                <w:szCs w:val="28"/>
              </w:rPr>
              <w:t>veikt attiecīgas izmaiņas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proofErr w:type="gramStart"/>
            <w:r w:rsidRPr="00833A4B">
              <w:rPr>
                <w:rFonts w:ascii="Times New Roman" w:hAnsi="Times New Roman"/>
                <w:sz w:val="28"/>
                <w:szCs w:val="28"/>
              </w:rPr>
              <w:t>201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5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.gada</w:t>
            </w:r>
            <w:proofErr w:type="gramEnd"/>
            <w:r w:rsidRPr="00833A4B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septembra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>rīkojum</w:t>
            </w:r>
            <w:r w:rsidR="005A1B53">
              <w:rPr>
                <w:rFonts w:ascii="Times New Roman" w:hAnsi="Times New Roman"/>
                <w:sz w:val="28"/>
                <w:szCs w:val="28"/>
              </w:rPr>
              <w:t>u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Nr.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470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„Par valsts sabiedrības ar ierobežotu atbildību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„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un balets”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statūtu apstiprināšanu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”</w:t>
            </w:r>
            <w:r w:rsidR="0080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apstiprinātajos 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 xml:space="preserve">valsts sabiedrības ar ierobežotu atbildību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„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un balets” statūtos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1025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EB2C83" w:rsidP="002A0049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42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B5756F" w:rsidP="00B5756F">
            <w:pPr>
              <w:pStyle w:val="NoSpacing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Kultūras ministrija un v</w:t>
            </w:r>
            <w:r w:rsidR="009B5515">
              <w:rPr>
                <w:rFonts w:ascii="Times New Roman" w:hAnsi="Times New Roman"/>
                <w:sz w:val="28"/>
                <w:szCs w:val="28"/>
              </w:rPr>
              <w:t>alsts sabiedrība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”</w:t>
            </w:r>
            <w:r w:rsidR="009B5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EA2DF8">
        <w:trPr>
          <w:trHeight w:val="514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EB2C83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1658E7">
            <w:pPr>
              <w:pStyle w:val="NoSpacing"/>
              <w:ind w:left="142" w:right="1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Pr="00E212F3" w:rsidRDefault="009621E7" w:rsidP="00962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Anotācijas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II, 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III, IV, V un VI sadaļa –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>P</w:t>
      </w:r>
      <w:r w:rsidRPr="00184343">
        <w:rPr>
          <w:rFonts w:ascii="Times New Roman" w:hAnsi="Times New Roman"/>
          <w:i/>
          <w:sz w:val="28"/>
          <w:szCs w:val="28"/>
        </w:rPr>
        <w:t>rojekts šīs jomas neskar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29"/>
        <w:gridCol w:w="4683"/>
      </w:tblGrid>
      <w:tr w:rsidR="009621E7" w:rsidRPr="00184343" w:rsidTr="0025474C">
        <w:trPr>
          <w:trHeight w:val="72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184343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9621E7" w:rsidRPr="00184343" w:rsidTr="0025474C">
        <w:trPr>
          <w:trHeight w:val="1412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9B5515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rojekta izpildi nodrošinās </w:t>
            </w:r>
            <w:r w:rsidR="009621E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Kultūras ministrija un </w:t>
            </w:r>
            <w:r w:rsidR="009B5515">
              <w:rPr>
                <w:rFonts w:ascii="Times New Roman" w:hAnsi="Times New Roman"/>
                <w:sz w:val="28"/>
                <w:szCs w:val="28"/>
              </w:rPr>
              <w:t>valsts sabiedrība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681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00CB" w:rsidRPr="009300CB" w:rsidRDefault="009300CB" w:rsidP="009300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300C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9621E7" w:rsidRPr="00184343" w:rsidRDefault="009300CB" w:rsidP="00A219E3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300C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B5515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rPr>
          <w:trHeight w:val="469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EB2C83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tabs>
                <w:tab w:val="center" w:pos="141"/>
              </w:tabs>
              <w:spacing w:after="0" w:line="240" w:lineRule="auto"/>
              <w:ind w:left="113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Default="009621E7" w:rsidP="009621E7">
      <w:pPr>
        <w:spacing w:after="0" w:line="20" w:lineRule="atLeast"/>
        <w:ind w:right="49" w:firstLine="709"/>
        <w:jc w:val="both"/>
        <w:rPr>
          <w:rFonts w:ascii="Times New Roman" w:hAnsi="Times New Roman"/>
          <w:sz w:val="24"/>
          <w:szCs w:val="24"/>
        </w:rPr>
      </w:pPr>
    </w:p>
    <w:p w:rsidR="009621E7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D7" w:rsidRPr="00CC1C93" w:rsidRDefault="00EA31D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D7" w:rsidRPr="00EA31D7" w:rsidRDefault="00EA31D7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Kultūras ministre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  <w:t>D.Melbārde</w:t>
      </w:r>
    </w:p>
    <w:p w:rsidR="00EA31D7" w:rsidRPr="00EA31D7" w:rsidRDefault="00EA31D7" w:rsidP="00EA31D7">
      <w:pPr>
        <w:pStyle w:val="Heading5"/>
        <w:keepNext w:val="0"/>
        <w:keepLines w:val="0"/>
        <w:spacing w:before="0" w:line="240" w:lineRule="auto"/>
        <w:ind w:firstLine="720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</w:p>
    <w:p w:rsidR="00EA31D7" w:rsidRPr="00EA31D7" w:rsidRDefault="00EA31D7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Vīza: Valsts sekretār</w:t>
      </w:r>
      <w:r w:rsidR="00871D8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a p.i.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="00871D8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B.Zakevica</w:t>
      </w:r>
    </w:p>
    <w:p w:rsidR="00510C2A" w:rsidRDefault="00510C2A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EA31D7" w:rsidRPr="00F24E12" w:rsidRDefault="00871D85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09</w:t>
      </w:r>
      <w:r w:rsidR="00EA31D7"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.0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9</w:t>
      </w:r>
      <w:r w:rsidR="00EA31D7"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.201</w:t>
      </w:r>
      <w:r w:rsidR="00F24E12"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6</w:t>
      </w:r>
      <w:r w:rsidR="00EA31D7"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.</w:t>
      </w:r>
    </w:p>
    <w:p w:rsidR="00EA31D7" w:rsidRPr="00F24E12" w:rsidRDefault="00871D85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430</w:t>
      </w:r>
    </w:p>
    <w:p w:rsidR="00EA31D7" w:rsidRPr="00EA31D7" w:rsidRDefault="00833A4B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bookmarkStart w:id="5" w:name="OLE_LINK19"/>
      <w:bookmarkStart w:id="6" w:name="OLE_LINK20"/>
      <w:r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M.Katajs</w:t>
      </w:r>
    </w:p>
    <w:p w:rsidR="00EA31D7" w:rsidRPr="00EA31D7" w:rsidRDefault="00EA31D7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bookmarkStart w:id="7" w:name="OLE_LINK17"/>
      <w:bookmarkStart w:id="8" w:name="OLE_LINK18"/>
      <w:bookmarkEnd w:id="5"/>
      <w:bookmarkEnd w:id="6"/>
      <w:r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Tālr.67330</w:t>
      </w:r>
      <w:r w:rsidR="00833A4B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327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; fakss 67330293</w:t>
      </w:r>
    </w:p>
    <w:p w:rsidR="00EA31D7" w:rsidRPr="00EA31D7" w:rsidRDefault="00827610" w:rsidP="00510C2A">
      <w:pPr>
        <w:pStyle w:val="Heading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hyperlink r:id="rId9" w:history="1">
        <w:r w:rsidR="00833A4B" w:rsidRPr="00A2071A">
          <w:rPr>
            <w:rStyle w:val="Hyperlink"/>
            <w:rFonts w:ascii="Times New Roman" w:eastAsiaTheme="minorHAnsi" w:hAnsi="Times New Roman" w:cs="Times New Roman"/>
            <w:bCs/>
            <w:iCs/>
            <w:sz w:val="24"/>
            <w:szCs w:val="24"/>
            <w:lang w:bidi="en-US"/>
          </w:rPr>
          <w:t>Marcis.Katajs@km.gov.lv</w:t>
        </w:r>
      </w:hyperlink>
      <w:r w:rsidR="00EA31D7"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 xml:space="preserve"> </w:t>
      </w:r>
      <w:bookmarkEnd w:id="7"/>
      <w:bookmarkEnd w:id="8"/>
    </w:p>
    <w:sectPr w:rsidR="00EA31D7" w:rsidRPr="00EA31D7" w:rsidSect="002547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10" w:rsidRDefault="00827610" w:rsidP="005F59B9">
      <w:pPr>
        <w:spacing w:after="0" w:line="240" w:lineRule="auto"/>
      </w:pPr>
      <w:r>
        <w:separator/>
      </w:r>
    </w:p>
  </w:endnote>
  <w:endnote w:type="continuationSeparator" w:id="0">
    <w:p w:rsidR="00827610" w:rsidRDefault="00827610" w:rsidP="005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3" w:rsidRPr="0056620C" w:rsidRDefault="00EB2C83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</w:t>
    </w:r>
    <w:r w:rsidR="00A722C6">
      <w:rPr>
        <w:rFonts w:ascii="Times New Roman" w:hAnsi="Times New Roman"/>
        <w:color w:val="000000" w:themeColor="text1"/>
      </w:rPr>
      <w:t>0909</w:t>
    </w:r>
    <w:r w:rsidRPr="00EB2C83">
      <w:rPr>
        <w:rFonts w:ascii="Times New Roman" w:hAnsi="Times New Roman"/>
        <w:color w:val="000000" w:themeColor="text1"/>
      </w:rPr>
      <w:t>16</w:t>
    </w:r>
    <w:r w:rsidRPr="0056620C">
      <w:rPr>
        <w:rFonts w:ascii="Times New Roman" w:hAnsi="Times New Roman"/>
      </w:rPr>
      <w:t>_LNO</w:t>
    </w:r>
    <w:r w:rsidR="00A722C6">
      <w:rPr>
        <w:rFonts w:ascii="Times New Roman" w:hAnsi="Times New Roman"/>
      </w:rPr>
      <w:t>B</w:t>
    </w:r>
    <w:r w:rsidRPr="0056620C">
      <w:rPr>
        <w:rFonts w:ascii="Times New Roman" w:hAnsi="Times New Roman"/>
      </w:rPr>
      <w:t xml:space="preserve">; </w:t>
    </w:r>
    <w:r w:rsidR="00297D61" w:rsidRPr="00EB2C83">
      <w:rPr>
        <w:rFonts w:ascii="Times New Roman" w:hAnsi="Times New Roman"/>
        <w:color w:val="000000" w:themeColor="text1"/>
      </w:rPr>
      <w:t xml:space="preserve">Grozījumi </w:t>
    </w:r>
    <w:r w:rsidRPr="0056620C">
      <w:rPr>
        <w:rFonts w:ascii="Times New Roman" w:hAnsi="Times New Roman"/>
      </w:rPr>
      <w:t>Ministru kabineta rīkojum</w:t>
    </w:r>
    <w:r w:rsidR="00297D61">
      <w:rPr>
        <w:rFonts w:ascii="Times New Roman" w:hAnsi="Times New Roman"/>
      </w:rPr>
      <w:t>ā</w:t>
    </w:r>
    <w:r w:rsidRPr="0056620C">
      <w:rPr>
        <w:rFonts w:ascii="Times New Roman" w:hAnsi="Times New Roman"/>
      </w:rPr>
      <w:t xml:space="preserve"> „Par valsts sabiedrības ar ierobežotu atbildību „Latvijas Nacionālā opera</w:t>
    </w:r>
    <w:r>
      <w:rPr>
        <w:rFonts w:ascii="Times New Roman" w:hAnsi="Times New Roman"/>
      </w:rPr>
      <w:t xml:space="preserve"> un balets</w:t>
    </w:r>
    <w:r w:rsidRPr="0056620C">
      <w:rPr>
        <w:rFonts w:ascii="Times New Roman" w:hAnsi="Times New Roman"/>
      </w:rPr>
      <w:t xml:space="preserve">” statūtu apstiprināšanu”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56620C">
        <w:rPr>
          <w:rFonts w:ascii="Times New Roman" w:hAnsi="Times New Roman"/>
        </w:rPr>
        <w:t>ziņojums (anotācija)</w:t>
      </w:r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3" w:rsidRPr="0056620C" w:rsidRDefault="00EB2C83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</w:t>
    </w:r>
    <w:r w:rsidR="00871D85">
      <w:rPr>
        <w:rFonts w:ascii="Times New Roman" w:hAnsi="Times New Roman"/>
        <w:color w:val="000000" w:themeColor="text1"/>
      </w:rPr>
      <w:t>0909</w:t>
    </w:r>
    <w:r w:rsidR="00871D85" w:rsidRPr="00EB2C83">
      <w:rPr>
        <w:rFonts w:ascii="Times New Roman" w:hAnsi="Times New Roman"/>
        <w:color w:val="000000" w:themeColor="text1"/>
      </w:rPr>
      <w:t>16</w:t>
    </w:r>
    <w:r w:rsidRPr="0056620C">
      <w:rPr>
        <w:rFonts w:ascii="Times New Roman" w:hAnsi="Times New Roman"/>
      </w:rPr>
      <w:t xml:space="preserve">_LNO; </w:t>
    </w:r>
    <w:r w:rsidRPr="00EB2C83">
      <w:rPr>
        <w:rFonts w:ascii="Times New Roman" w:hAnsi="Times New Roman"/>
        <w:color w:val="000000" w:themeColor="text1"/>
      </w:rPr>
      <w:t>Grozījumi Ministru kabineta 2015.gada 2.septembra rīkojumā Nr.470 „Par valsts sabiedrības ar ierobežotu atbildību „Latvijas Nacionālā opera un balets” statūtu apstiprināšanu”</w:t>
    </w:r>
    <w:r w:rsidRPr="00EB2C83">
      <w:t xml:space="preserve"> </w:t>
    </w:r>
    <w:r w:rsidRPr="0056620C">
      <w:rPr>
        <w:rFonts w:ascii="Times New Roman" w:hAnsi="Times New Roman"/>
      </w:rPr>
      <w:t xml:space="preserve">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56620C">
        <w:rPr>
          <w:rFonts w:ascii="Times New Roman" w:hAnsi="Times New Roman"/>
        </w:rPr>
        <w:t>ziņojums (anotācija)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10" w:rsidRDefault="00827610" w:rsidP="005F59B9">
      <w:pPr>
        <w:spacing w:after="0" w:line="240" w:lineRule="auto"/>
      </w:pPr>
      <w:r>
        <w:separator/>
      </w:r>
    </w:p>
  </w:footnote>
  <w:footnote w:type="continuationSeparator" w:id="0">
    <w:p w:rsidR="00827610" w:rsidRDefault="00827610" w:rsidP="005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3" w:rsidRPr="00844DF8" w:rsidRDefault="007F5F24">
    <w:pPr>
      <w:pStyle w:val="Header"/>
      <w:jc w:val="center"/>
      <w:rPr>
        <w:rFonts w:ascii="Times New Roman" w:hAnsi="Times New Roman"/>
      </w:rPr>
    </w:pPr>
    <w:r w:rsidRPr="00844DF8">
      <w:rPr>
        <w:rFonts w:ascii="Times New Roman" w:hAnsi="Times New Roman"/>
      </w:rPr>
      <w:fldChar w:fldCharType="begin"/>
    </w:r>
    <w:r w:rsidR="00EB2C83" w:rsidRPr="00844DF8">
      <w:rPr>
        <w:rFonts w:ascii="Times New Roman" w:hAnsi="Times New Roman"/>
      </w:rPr>
      <w:instrText xml:space="preserve"> PAGE   \* MERGEFORMAT </w:instrText>
    </w:r>
    <w:r w:rsidRPr="00844DF8">
      <w:rPr>
        <w:rFonts w:ascii="Times New Roman" w:hAnsi="Times New Roman"/>
      </w:rPr>
      <w:fldChar w:fldCharType="separate"/>
    </w:r>
    <w:r w:rsidR="002D5FE2">
      <w:rPr>
        <w:rFonts w:ascii="Times New Roman" w:hAnsi="Times New Roman"/>
        <w:noProof/>
      </w:rPr>
      <w:t>3</w:t>
    </w:r>
    <w:r w:rsidRPr="00844DF8">
      <w:rPr>
        <w:rFonts w:ascii="Times New Roman" w:hAnsi="Times New Roman"/>
      </w:rPr>
      <w:fldChar w:fldCharType="end"/>
    </w:r>
  </w:p>
  <w:p w:rsidR="00EB2C83" w:rsidRDefault="00EB2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61" w:rsidRDefault="00297D61" w:rsidP="00297D61">
    <w:pPr>
      <w:pStyle w:val="Header"/>
      <w:tabs>
        <w:tab w:val="clear" w:pos="4153"/>
        <w:tab w:val="clear" w:pos="8306"/>
        <w:tab w:val="left" w:pos="32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6"/>
    <w:rsid w:val="00041BCD"/>
    <w:rsid w:val="00045CF4"/>
    <w:rsid w:val="00050B36"/>
    <w:rsid w:val="00051916"/>
    <w:rsid w:val="00052BC2"/>
    <w:rsid w:val="00075183"/>
    <w:rsid w:val="0008026D"/>
    <w:rsid w:val="000837BB"/>
    <w:rsid w:val="000B3424"/>
    <w:rsid w:val="000D12ED"/>
    <w:rsid w:val="00133DB7"/>
    <w:rsid w:val="00145220"/>
    <w:rsid w:val="001658E7"/>
    <w:rsid w:val="00251E3F"/>
    <w:rsid w:val="0025474C"/>
    <w:rsid w:val="0026795C"/>
    <w:rsid w:val="00297D61"/>
    <w:rsid w:val="002A0049"/>
    <w:rsid w:val="002A5E49"/>
    <w:rsid w:val="002B13AC"/>
    <w:rsid w:val="002B4951"/>
    <w:rsid w:val="002D1616"/>
    <w:rsid w:val="002D5BFF"/>
    <w:rsid w:val="002D5FE2"/>
    <w:rsid w:val="00310488"/>
    <w:rsid w:val="0032306C"/>
    <w:rsid w:val="003443CE"/>
    <w:rsid w:val="00362927"/>
    <w:rsid w:val="0037490D"/>
    <w:rsid w:val="00376682"/>
    <w:rsid w:val="00383FAE"/>
    <w:rsid w:val="003848E6"/>
    <w:rsid w:val="0039065A"/>
    <w:rsid w:val="00395BCA"/>
    <w:rsid w:val="003C0736"/>
    <w:rsid w:val="003E3BA2"/>
    <w:rsid w:val="003F06D6"/>
    <w:rsid w:val="004041F0"/>
    <w:rsid w:val="00432CE2"/>
    <w:rsid w:val="004423EE"/>
    <w:rsid w:val="00445067"/>
    <w:rsid w:val="004511CB"/>
    <w:rsid w:val="004652A6"/>
    <w:rsid w:val="0048157A"/>
    <w:rsid w:val="004A7CB5"/>
    <w:rsid w:val="004B4E64"/>
    <w:rsid w:val="00510C2A"/>
    <w:rsid w:val="00532B63"/>
    <w:rsid w:val="00535E39"/>
    <w:rsid w:val="0056620C"/>
    <w:rsid w:val="005A1B53"/>
    <w:rsid w:val="005E06B8"/>
    <w:rsid w:val="005E6ECD"/>
    <w:rsid w:val="005F5206"/>
    <w:rsid w:val="005F59B9"/>
    <w:rsid w:val="006315DD"/>
    <w:rsid w:val="00637234"/>
    <w:rsid w:val="00661728"/>
    <w:rsid w:val="00667D39"/>
    <w:rsid w:val="006B56CD"/>
    <w:rsid w:val="006B6546"/>
    <w:rsid w:val="00711F1E"/>
    <w:rsid w:val="007416ED"/>
    <w:rsid w:val="0076577F"/>
    <w:rsid w:val="00783846"/>
    <w:rsid w:val="007A6302"/>
    <w:rsid w:val="007F5F24"/>
    <w:rsid w:val="0080118C"/>
    <w:rsid w:val="00813FB9"/>
    <w:rsid w:val="0082299E"/>
    <w:rsid w:val="00827610"/>
    <w:rsid w:val="00833A4B"/>
    <w:rsid w:val="00844DF8"/>
    <w:rsid w:val="008608F1"/>
    <w:rsid w:val="00871D85"/>
    <w:rsid w:val="00871F98"/>
    <w:rsid w:val="00921922"/>
    <w:rsid w:val="009300CB"/>
    <w:rsid w:val="00935174"/>
    <w:rsid w:val="00956112"/>
    <w:rsid w:val="009621E7"/>
    <w:rsid w:val="009A0270"/>
    <w:rsid w:val="009B5515"/>
    <w:rsid w:val="009B7E06"/>
    <w:rsid w:val="009C4D53"/>
    <w:rsid w:val="009C75C0"/>
    <w:rsid w:val="00A219E3"/>
    <w:rsid w:val="00A6670A"/>
    <w:rsid w:val="00A722C6"/>
    <w:rsid w:val="00A74A38"/>
    <w:rsid w:val="00A83102"/>
    <w:rsid w:val="00AC6D80"/>
    <w:rsid w:val="00AD2F94"/>
    <w:rsid w:val="00B176FC"/>
    <w:rsid w:val="00B37F6F"/>
    <w:rsid w:val="00B5756F"/>
    <w:rsid w:val="00B803BE"/>
    <w:rsid w:val="00B811F7"/>
    <w:rsid w:val="00BA3BF7"/>
    <w:rsid w:val="00BB4E4F"/>
    <w:rsid w:val="00BD302E"/>
    <w:rsid w:val="00BF43C8"/>
    <w:rsid w:val="00C0519D"/>
    <w:rsid w:val="00C058FB"/>
    <w:rsid w:val="00C1429A"/>
    <w:rsid w:val="00C24150"/>
    <w:rsid w:val="00C7484E"/>
    <w:rsid w:val="00C777AE"/>
    <w:rsid w:val="00D71129"/>
    <w:rsid w:val="00D864EB"/>
    <w:rsid w:val="00DC6206"/>
    <w:rsid w:val="00DD1EDA"/>
    <w:rsid w:val="00DE5C63"/>
    <w:rsid w:val="00E02483"/>
    <w:rsid w:val="00E03DD7"/>
    <w:rsid w:val="00E16A1E"/>
    <w:rsid w:val="00E212F3"/>
    <w:rsid w:val="00E53CC0"/>
    <w:rsid w:val="00E66264"/>
    <w:rsid w:val="00E66709"/>
    <w:rsid w:val="00E84DF6"/>
    <w:rsid w:val="00E93666"/>
    <w:rsid w:val="00EA2DF8"/>
    <w:rsid w:val="00EA31D7"/>
    <w:rsid w:val="00EB2C83"/>
    <w:rsid w:val="00EB3087"/>
    <w:rsid w:val="00EF061E"/>
    <w:rsid w:val="00F24E12"/>
    <w:rsid w:val="00F52658"/>
    <w:rsid w:val="00FB0644"/>
    <w:rsid w:val="00FC1D8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3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831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07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073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3C0736"/>
    <w:rPr>
      <w:color w:val="0000FF"/>
      <w:u w:val="single"/>
    </w:rPr>
  </w:style>
  <w:style w:type="paragraph" w:customStyle="1" w:styleId="naisc">
    <w:name w:val="naisc"/>
    <w:basedOn w:val="Normal"/>
    <w:link w:val="naiscChar"/>
    <w:rsid w:val="003C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cChar">
    <w:name w:val="naisc Char"/>
    <w:basedOn w:val="DefaultParagraphFont"/>
    <w:link w:val="naisc"/>
    <w:rsid w:val="003C07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C073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C073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736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142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2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F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1E7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83102"/>
    <w:rPr>
      <w:rFonts w:ascii="Times New Roman" w:eastAsia="Times New Roman" w:hAnsi="Times New Roman" w:cs="Times New Roman"/>
      <w:sz w:val="28"/>
      <w:szCs w:val="24"/>
    </w:rPr>
  </w:style>
  <w:style w:type="paragraph" w:customStyle="1" w:styleId="tv2131">
    <w:name w:val="tv2131"/>
    <w:basedOn w:val="Normal"/>
    <w:rsid w:val="00041BC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 w:bidi="lo-LA"/>
    </w:rPr>
  </w:style>
  <w:style w:type="character" w:styleId="Strong">
    <w:name w:val="Strong"/>
    <w:basedOn w:val="DefaultParagraphFont"/>
    <w:uiPriority w:val="22"/>
    <w:qFormat/>
    <w:rsid w:val="006617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1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31">
    <w:name w:val="Body Text Indent 31"/>
    <w:basedOn w:val="Normal"/>
    <w:rsid w:val="00EA31D7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3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831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07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073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3C0736"/>
    <w:rPr>
      <w:color w:val="0000FF"/>
      <w:u w:val="single"/>
    </w:rPr>
  </w:style>
  <w:style w:type="paragraph" w:customStyle="1" w:styleId="naisc">
    <w:name w:val="naisc"/>
    <w:basedOn w:val="Normal"/>
    <w:link w:val="naiscChar"/>
    <w:rsid w:val="003C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cChar">
    <w:name w:val="naisc Char"/>
    <w:basedOn w:val="DefaultParagraphFont"/>
    <w:link w:val="naisc"/>
    <w:rsid w:val="003C07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C073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C073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736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142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2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F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1E7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83102"/>
    <w:rPr>
      <w:rFonts w:ascii="Times New Roman" w:eastAsia="Times New Roman" w:hAnsi="Times New Roman" w:cs="Times New Roman"/>
      <w:sz w:val="28"/>
      <w:szCs w:val="24"/>
    </w:rPr>
  </w:style>
  <w:style w:type="paragraph" w:customStyle="1" w:styleId="tv2131">
    <w:name w:val="tv2131"/>
    <w:basedOn w:val="Normal"/>
    <w:rsid w:val="00041BC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 w:bidi="lo-LA"/>
    </w:rPr>
  </w:style>
  <w:style w:type="character" w:styleId="Strong">
    <w:name w:val="Strong"/>
    <w:basedOn w:val="DefaultParagraphFont"/>
    <w:uiPriority w:val="22"/>
    <w:qFormat/>
    <w:rsid w:val="006617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1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31">
    <w:name w:val="Body Text Indent 31"/>
    <w:basedOn w:val="Normal"/>
    <w:rsid w:val="00EA31D7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cis.Katajs@k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CC27-A0E0-40E2-90BC-DDF51D8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„Grozījumi Ministru kabineta 2015.gada 2.septembra rīkojumā Nr.470 „Par valsts sabiedrības ar ierobežotu atbildību „Latvijas Nacionālā opera un balets” statūtu apstiprināšanu”” sākotnējās ietekmes novērtējuma ziņojums (</vt:lpstr>
      <vt:lpstr>Ministru kabineta rīkojuma projekta „Par nekustamo īpašumu Kronvalda bulvārī 2B, Rīgā” sākotnējās ietekmes novērtējuma ziņojums (anotācija)</vt:lpstr>
    </vt:vector>
  </TitlesOfParts>
  <Company>LR Kultūras Ministrija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2015.gada 2.septembra rīkojumā Nr.470 „Par valsts sabiedrības ar ierobežotu atbildību „Latvijas Nacionālā opera un balets” statūtu apstiprināšanu”” sākotnējās ietekmes novērtējuma ziņojums (anotācija)</dc:title>
  <dc:subject>Anotācija</dc:subject>
  <dc:creator>M.Katajs</dc:creator>
  <dc:description>Tālr.67330327; fakss 67330293
Marcis.Katajs@km.gov.lv</dc:description>
  <cp:lastModifiedBy>Laimdota Adlere</cp:lastModifiedBy>
  <cp:revision>4</cp:revision>
  <cp:lastPrinted>2016-09-09T08:57:00Z</cp:lastPrinted>
  <dcterms:created xsi:type="dcterms:W3CDTF">2016-09-09T13:10:00Z</dcterms:created>
  <dcterms:modified xsi:type="dcterms:W3CDTF">2016-09-09T13:11:00Z</dcterms:modified>
</cp:coreProperties>
</file>